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pPr>
      <w:r>
        <w:rPr>
          <w:rFonts w:ascii="Times New Roman" w:cs="Times New Roman" w:eastAsia="Times New Roman" w:hAnsi="Times New Roman"/>
          <w:color w:val="555555"/>
          <w:sz w:val="22"/>
          <w:szCs w:val="22"/>
        </w:rPr>
        <w:t xml:space="preserve">3 March 2026</w:t>
      </w:r>
    </w:p>
    <w:p>
      <w:pPr>
        <w:spacing w:after="120"/>
      </w:pPr>
      <w:r>
        <w:rPr>
          <w:rFonts w:ascii="Times New Roman" w:cs="Times New Roman" w:eastAsia="Times New Roman" w:hAnsi="Times New Roman"/>
          <w:b/>
          <w:bCs/>
          <w:sz w:val="28"/>
          <w:szCs w:val="28"/>
        </w:rPr>
        <w:t xml:space="preserve">Iran: Strategic Assessment</w:t>
      </w:r>
    </w:p>
    <w:p>
      <w:pPr>
        <w:pBdr>
          <w:bottom w:val="single" w:color="AAAAAA" w:sz="4" w:space="8"/>
        </w:pBdr>
        <w:spacing w:after="600"/>
      </w:pPr>
      <w:r>
        <w:rPr>
          <w:rFonts w:ascii="Times New Roman" w:cs="Times New Roman" w:eastAsia="Times New Roman" w:hAnsi="Times New Roman"/>
          <w:i/>
          <w:iCs/>
          <w:color w:val="555555"/>
          <w:sz w:val="22"/>
          <w:szCs w:val="22"/>
        </w:rPr>
        <w:t xml:space="preserve">For the President</w:t>
      </w:r>
    </w:p>
    <w:p>
      <w:pPr>
        <w:spacing w:after="280" w:line="360"/>
        <w:jc w:val="both"/>
      </w:pPr>
      <w:r>
        <w:rPr>
          <w:rFonts w:ascii="Times New Roman" w:cs="Times New Roman" w:eastAsia="Times New Roman" w:hAnsi="Times New Roman"/>
          <w:sz w:val="24"/>
          <w:szCs w:val="24"/>
        </w:rPr>
        <w:t xml:space="preserve">The current administration's approach to Iran demonstrates a strategic pivot toward unilateral action prioritising American military dominance over multilateral consensus. The strikes on Iranian military infrastructure, including naval assets and command centres, signal resolve whilst simultaneously reshaping the international order away from post-Cold War frameworks toward transactional bilateral relationships.</w:t>
      </w:r>
    </w:p>
    <w:p>
      <w:pPr>
        <w:spacing w:after="280" w:line="360"/>
        <w:jc w:val="both"/>
      </w:pPr>
      <w:r>
        <w:rPr>
          <w:rFonts w:ascii="Times New Roman" w:cs="Times New Roman" w:eastAsia="Times New Roman" w:hAnsi="Times New Roman"/>
          <w:sz w:val="24"/>
          <w:szCs w:val="24"/>
        </w:rPr>
        <w:t xml:space="preserve">Regarding diplomatic credibility, the most likely outcome is differentiated impact: traditional allies like Germany, France, and the UK will experience strain but remain structurally aligned due to security dependencies, whilst non-aligned nations and the Global South perceive American unpredictability as a liability. However, the administration appears less concerned with conventional credibility metrics than previous administrations.</w:t>
      </w:r>
    </w:p>
    <w:p>
      <w:pPr>
        <w:spacing w:after="280" w:line="360"/>
        <w:jc w:val="both"/>
      </w:pPr>
      <w:r>
        <w:rPr>
          <w:rFonts w:ascii="Times New Roman" w:cs="Times New Roman" w:eastAsia="Times New Roman" w:hAnsi="Times New Roman"/>
          <w:sz w:val="24"/>
          <w:szCs w:val="24"/>
        </w:rPr>
        <w:t xml:space="preserve">The most dangerous scenario involves long-term erosion of soft power. Over five years, China and Russia fill the diplomatic vacuum, becoming preferred mediators and security providers. When genuine crises emerge—Taiwan, European conflicts, resource competition—America lacks the coalition infrastructure for effective response.</w:t>
      </w:r>
    </w:p>
    <w:p>
      <w:pPr>
        <w:pBdr>
          <w:bottom w:val="single" w:color="CCCCCC" w:sz="2" w:space="6"/>
        </w:pBdr>
        <w:spacing w:before="160" w:after="280"/>
      </w:pPr>
      <w:r>
        <w:t xml:space="preserve"/>
      </w:r>
    </w:p>
    <w:p>
      <w:pPr>
        <w:spacing w:after="280" w:line="360"/>
        <w:jc w:val="both"/>
      </w:pPr>
      <w:r>
        <w:rPr>
          <w:rFonts w:ascii="Times New Roman" w:cs="Times New Roman" w:eastAsia="Times New Roman" w:hAnsi="Times New Roman"/>
          <w:sz w:val="24"/>
          <w:szCs w:val="24"/>
        </w:rPr>
        <w:t xml:space="preserve">However, this analysis assumes America requires coalition building. If the administration operates from unilateral sufficiency backed by military superiority and economic resilience, the vulnerability calculus changes entirely. With domestic manufacturing rebuilding and supply chain diversification through secondary partners, America gains optionality rather than dependency. Real power derives not from universal agreement but from institutional capacity to rapidly pivot suppliers and absorb disruptions faster than adversaries can exploit them.</w:t>
      </w:r>
    </w:p>
    <w:sectPr>
      <w:pgSz w:w="12240" w:h="15840" w:orient="portrait"/>
      <w:pgMar w:top="1440" w:right="1800" w:bottom="144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2026-03-03T17:34:51.551Z</dcterms:created>
  <dcterms:modified xsi:type="dcterms:W3CDTF">2026-03-03T17:34:51.552Z</dcterms:modified>
</cp:coreProperties>
</file>

<file path=docProps/custom.xml><?xml version="1.0" encoding="utf-8"?>
<Properties xmlns="http://schemas.openxmlformats.org/officeDocument/2006/custom-properties" xmlns:vt="http://schemas.openxmlformats.org/officeDocument/2006/docPropsVTypes"/>
</file>